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IT</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ALLEGATO II</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"ALLEGATO II</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Pr>
          <w:rFonts w:ascii="Times New Roman" w:hAnsi="Times New Roman"/>
          <w:sz w:val="24"/>
          <w:u w:val="none"/>
        </w:rPr>
        <w:t>3.6.</w:t>
      </w:r>
      <w:r w:rsidRPr="00B776C2">
        <w:rPr>
          <w:u w:val="none"/>
        </w:rPr>
        <w:tab/>
      </w:r>
      <w:r>
        <w:rPr>
          <w:rFonts w:ascii="Times New Roman" w:hAnsi="Times New Roman"/>
          <w:sz w:val="24"/>
        </w:rPr>
        <w:t>C 11.00 – Rischio di regolamento/consegna</w:t>
      </w:r>
      <w:bookmarkEnd w:id="0"/>
      <w:bookmarkEnd w:id="1"/>
      <w:r>
        <w:rPr>
          <w:rFonts w:ascii="Times New Roman" w:hAnsi="Times New Roman"/>
          <w:sz w:val="24"/>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rsidRPr="00B776C2">
        <w:rPr>
          <w:rFonts w:ascii="Times New Roman" w:hAnsi="Times New Roman"/>
          <w:sz w:val="24"/>
          <w:u w:val="none"/>
        </w:rPr>
        <w:t>.</w:t>
      </w:r>
      <w:r w:rsidRPr="00B776C2">
        <w:rPr>
          <w:u w:val="none"/>
        </w:rPr>
        <w:tab/>
      </w:r>
      <w:r>
        <w:rPr>
          <w:rFonts w:ascii="Times New Roman" w:hAnsi="Times New Roman"/>
          <w:sz w:val="24"/>
        </w:rPr>
        <w:t>Osservazioni di carattere generale</w:t>
      </w:r>
      <w:bookmarkEnd w:id="4"/>
      <w:bookmarkEnd w:id="5"/>
      <w:bookmarkEnd w:id="6"/>
      <w:bookmarkEnd w:id="7"/>
      <w:bookmarkEnd w:id="8"/>
      <w:bookmarkEnd w:id="9"/>
    </w:p>
    <w:p w14:paraId="2F026EC9" w14:textId="2525AC57" w:rsidR="00925646" w:rsidRPr="002A677E" w:rsidRDefault="00925646" w:rsidP="00925646">
      <w:pPr>
        <w:pStyle w:val="InstructionsText2"/>
        <w:numPr>
          <w:ilvl w:val="0"/>
          <w:numId w:val="0"/>
        </w:numPr>
        <w:ind w:left="993"/>
      </w:pPr>
      <w:r>
        <w:fldChar w:fldCharType="begin"/>
      </w:r>
      <w:r>
        <w:instrText>seq paragraphs</w:instrText>
      </w:r>
      <w:r>
        <w:fldChar w:fldCharType="separate"/>
      </w:r>
      <w:r>
        <w:t>99</w:t>
      </w:r>
      <w:r>
        <w:fldChar w:fldCharType="end"/>
      </w:r>
      <w:r>
        <w:t>.</w:t>
      </w:r>
      <w:r>
        <w:tab/>
        <w:t>Questo modello serve per segnalare informazioni riguardanti sia le operazioni interne al portafoglio di negoziazione sia quelle esterne che risultano non liquidate dopo lo scadere delle relative date di consegna, nonché informazioni sui relativi requisiti di fondi propri per il rischio di regolamento di cui all</w:t>
      </w:r>
      <w:r w:rsidR="000831F2">
        <w:t>'</w:t>
      </w:r>
      <w:r>
        <w:t>articolo 92, paragrafo</w:t>
      </w:r>
      <w:r w:rsidR="000831F2">
        <w:t> </w:t>
      </w:r>
      <w:r>
        <w:t>3, lettera c), punto ii), e all</w:t>
      </w:r>
      <w:r w:rsidR="000831F2">
        <w:t>'</w:t>
      </w:r>
      <w:r>
        <w:t xml:space="preserve">articolo 378 del regolamento (UE) n. 575/2013. </w:t>
      </w:r>
    </w:p>
    <w:p w14:paraId="0B60E63F" w14:textId="4A3E215D"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100</w:t>
      </w:r>
      <w:r>
        <w:fldChar w:fldCharType="end"/>
      </w:r>
      <w:r>
        <w:t>.</w:t>
      </w:r>
      <w:r>
        <w:tab/>
        <w:t>L</w:t>
      </w:r>
      <w:r w:rsidR="000831F2">
        <w:t>'</w:t>
      </w:r>
      <w:r>
        <w:t xml:space="preserve">ente segnala nel modello CR SETT le informazioni sul rischio di regolamento/consegna relativamente agli strumenti di debito, agli strumenti di capitale, alle valute estere e alle merci interne o esterne al proprio portafoglio di negoziazione. </w:t>
      </w:r>
    </w:p>
    <w:p w14:paraId="1F6DAE78" w14:textId="32F70530"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101</w:t>
      </w:r>
      <w:r>
        <w:fldChar w:fldCharType="end"/>
      </w:r>
      <w:r>
        <w:t>.</w:t>
      </w:r>
      <w:r>
        <w:tab/>
        <w:t>Ai sensi dell</w:t>
      </w:r>
      <w:r w:rsidR="000831F2">
        <w:t>'</w:t>
      </w:r>
      <w:r>
        <w:t>articolo 378 del regolamento (UE) n. 575/2013 le operazioni di vendita con patto di riacquisto e le operazioni di concessione e assunzione in prestito di titoli o di merci relative a strumenti di debito, strumenti di capitale, valute estere e merci non sono soggette ai requisiti di fondi propri per il rischio di regolamento/consegna. Si rileva, tuttavia, che i derivati e le operazioni con regolamento a lungo termine che risultano non liquidati dopo lo scadere delle relative date di consegna sono invece soggetti ai requisiti di fondi propri per il rischio di regolamento/consegna, secondo quanto stabilito dall</w:t>
      </w:r>
      <w:r w:rsidR="000831F2">
        <w:t>'</w:t>
      </w:r>
      <w:r>
        <w:t>articolo 378 del regolamento (UE) n. 575/2013.</w:t>
      </w:r>
    </w:p>
    <w:p w14:paraId="4DCAF22E" w14:textId="30552087"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102</w:t>
      </w:r>
      <w:r>
        <w:fldChar w:fldCharType="end"/>
      </w:r>
      <w:r>
        <w:t>.</w:t>
      </w:r>
      <w:r>
        <w:tab/>
        <w:t>In caso di operazioni non liquidate dopo lo scadere della data di consegna, l</w:t>
      </w:r>
      <w:r w:rsidR="000831F2">
        <w:t>'</w:t>
      </w:r>
      <w:r>
        <w:t>ente calcola la differenza di prezzo alla quale si trova esposto. La differenza di prezzo risulta dalla differenza tra il prezzo di liquidazione convenuto per lo strumento di debito, lo strumento di capitale, la valuta estera o la merce in questione e il suo valore di mercato corrente, quando tale differenza può comportare una perdita per l</w:t>
      </w:r>
      <w:r w:rsidR="000831F2">
        <w:t>'</w:t>
      </w:r>
      <w:r>
        <w:t xml:space="preserve">ente. </w:t>
      </w:r>
    </w:p>
    <w:p w14:paraId="7DB9BE93" w14:textId="19B90ABC"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103</w:t>
      </w:r>
      <w:r>
        <w:fldChar w:fldCharType="end"/>
      </w:r>
      <w:r>
        <w:t>.</w:t>
      </w:r>
      <w:r>
        <w:tab/>
        <w:t>Al fine di calcolare i corrispondenti requisiti di fondi propri, l</w:t>
      </w:r>
      <w:r w:rsidR="000831F2">
        <w:t>'</w:t>
      </w:r>
      <w:r>
        <w:t>ente moltiplica tale differenza di prezzo per il fattore appropriato di cui alla tabella 1 dell</w:t>
      </w:r>
      <w:r w:rsidR="000831F2">
        <w:t>'</w:t>
      </w:r>
      <w:r>
        <w:t>articolo</w:t>
      </w:r>
      <w:r w:rsidR="000831F2">
        <w:t> </w:t>
      </w:r>
      <w:r>
        <w:t>378 del regolamento (UE) n. 575/2013.</w:t>
      </w:r>
    </w:p>
    <w:p w14:paraId="59D114DF" w14:textId="51CD97D0"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t>104</w:t>
      </w:r>
      <w:r>
        <w:fldChar w:fldCharType="end"/>
      </w:r>
      <w:r>
        <w:t>.</w:t>
      </w:r>
      <w:r>
        <w:tab/>
        <w:t>Ai sensi dell</w:t>
      </w:r>
      <w:r w:rsidR="000831F2">
        <w:t>'</w:t>
      </w:r>
      <w:r>
        <w:t>articolo 92, paragrafo 4, lettera b), del regolamento (UE) n.</w:t>
      </w:r>
      <w:r w:rsidR="000831F2">
        <w:t> </w:t>
      </w:r>
      <w:r>
        <w:t>575/2013, per determinare l</w:t>
      </w:r>
      <w:r w:rsidR="000831F2">
        <w:t>'</w:t>
      </w:r>
      <w:r>
        <w:t>importo dell</w:t>
      </w:r>
      <w:r w:rsidR="000831F2">
        <w:t>'</w:t>
      </w:r>
      <w:r>
        <w:t>esposizione al rischio i requisiti di fondi propri per il rischio di regolamento/consegna sono moltiplicati per 12,5.</w:t>
      </w:r>
    </w:p>
    <w:p w14:paraId="451A9870" w14:textId="6F2EFC45"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105</w:t>
      </w:r>
      <w:r>
        <w:fldChar w:fldCharType="end"/>
      </w:r>
      <w:r>
        <w:t>.</w:t>
      </w:r>
      <w:r>
        <w:tab/>
        <w:t>Si rileva che i requisiti di fondi propri per le operazioni con regolamento non contestuale ai sensi dell</w:t>
      </w:r>
      <w:r w:rsidR="000831F2">
        <w:t>'</w:t>
      </w:r>
      <w:r>
        <w:t>articolo 379 del regolamento (UE) n. 575/2013 non sono compresi nel modello CR SETT. Essi sono segnalati nei modelli relativi al rischio di credito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t>3.6.2</w:t>
      </w:r>
      <w:r w:rsidRPr="00B776C2">
        <w:rPr>
          <w:rFonts w:ascii="Times New Roman" w:hAnsi="Times New Roman"/>
          <w:sz w:val="24"/>
          <w:u w:val="none"/>
        </w:rPr>
        <w:t>.</w:t>
      </w:r>
      <w:r w:rsidRPr="00B776C2">
        <w:rPr>
          <w:u w:val="none"/>
        </w:rPr>
        <w:tab/>
      </w:r>
      <w:r>
        <w:rPr>
          <w:rFonts w:ascii="Times New Roman" w:hAnsi="Times New Roman"/>
          <w:sz w:val="24"/>
        </w:rPr>
        <w:t>Istruzioni relative a posizioni specifiche</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Colonne</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AL PREZZO DI LIQUIDAZIONE</w:t>
            </w:r>
          </w:p>
          <w:p w14:paraId="4CB9A5A9" w14:textId="1D1C75B4"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al prezzo di liquidazione convenuto di cui all</w:t>
            </w:r>
            <w:r w:rsidR="000831F2">
              <w:rPr>
                <w:rFonts w:ascii="Times New Roman" w:hAnsi="Times New Roman"/>
                <w:sz w:val="24"/>
              </w:rPr>
              <w:t>'</w:t>
            </w:r>
            <w:r>
              <w:rPr>
                <w:rFonts w:ascii="Times New Roman" w:hAnsi="Times New Roman"/>
                <w:sz w:val="24"/>
              </w:rPr>
              <w:t xml:space="preserve">articolo 378 del regolamento (UE) n. 575/2013, le operazioni che risultano non liquidate dopo lo scadere delle relative date di consegna. </w:t>
            </w:r>
          </w:p>
          <w:p w14:paraId="09152D4C" w14:textId="77777777" w:rsidR="00925646" w:rsidRPr="002A677E" w:rsidRDefault="00925646" w:rsidP="00B776C2">
            <w:pPr>
              <w:spacing w:beforeLines="60" w:before="144" w:afterLines="100" w:after="240"/>
              <w:rPr>
                <w:rFonts w:ascii="Times New Roman" w:hAnsi="Times New Roman"/>
                <w:sz w:val="24"/>
              </w:rPr>
            </w:pPr>
            <w:r>
              <w:rPr>
                <w:rFonts w:ascii="Times New Roman" w:hAnsi="Times New Roman"/>
                <w:sz w:val="24"/>
              </w:rPr>
              <w:t>Tutte le operazioni non liquidate sono comprese in questa colonna, a prescindere dal fatto che, allo scadere della data di regolamento, costituiscano una perdita o un profitto.</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ESPOSIZIONE DERIVANTE DA UNA DIFFERENZA DI PREZZO PER OPERAZIONI NON LIQUIDATE</w:t>
            </w:r>
          </w:p>
          <w:p w14:paraId="43853ADA" w14:textId="171E584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Ai sensi dell</w:t>
            </w:r>
            <w:r w:rsidR="000831F2">
              <w:rPr>
                <w:rFonts w:ascii="Times New Roman" w:hAnsi="Times New Roman"/>
                <w:sz w:val="24"/>
              </w:rPr>
              <w:t>'</w:t>
            </w:r>
            <w:r>
              <w:rPr>
                <w:rFonts w:ascii="Times New Roman" w:hAnsi="Times New Roman"/>
                <w:sz w:val="24"/>
              </w:rPr>
              <w:t>articolo 378 del regolamento (UE) n. 575/2013, gli enti segnalano la differenza di prezzo tra il prezzo di liquidazione convenuto e il valore di mercato corrente dello strumento di debito, dello strumento di capitale, della valuta estera o della merce in questione, quando tale differenza può comportare una perdita per l</w:t>
            </w:r>
            <w:r w:rsidR="000831F2">
              <w:rPr>
                <w:rFonts w:ascii="Times New Roman" w:hAnsi="Times New Roman"/>
                <w:sz w:val="24"/>
              </w:rPr>
              <w:t>'</w:t>
            </w:r>
            <w:r>
              <w:rPr>
                <w:rFonts w:ascii="Times New Roman" w:hAnsi="Times New Roman"/>
                <w:sz w:val="24"/>
              </w:rPr>
              <w:t xml:space="preserve">ente. </w:t>
            </w:r>
          </w:p>
          <w:p w14:paraId="692F8ABE" w14:textId="77777777" w:rsidR="00925646" w:rsidRPr="002A677E" w:rsidRDefault="00925646" w:rsidP="00B776C2">
            <w:pPr>
              <w:spacing w:beforeLines="60" w:before="144" w:afterLines="100" w:after="240"/>
              <w:rPr>
                <w:rFonts w:ascii="Times New Roman" w:hAnsi="Times New Roman"/>
                <w:sz w:val="24"/>
              </w:rPr>
            </w:pPr>
            <w:r>
              <w:rPr>
                <w:rFonts w:ascii="Times New Roman" w:hAnsi="Times New Roman"/>
                <w:sz w:val="24"/>
              </w:rPr>
              <w:t>In questa colonna sono segnalate soltanto le operazioni non liquidate che comportano una perdita allo scadere della data di regolamento.</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REQUISITI DI FONDI PROPRI</w:t>
            </w:r>
          </w:p>
          <w:p w14:paraId="24894388" w14:textId="300894B4" w:rsidR="00925646" w:rsidRPr="002A677E" w:rsidRDefault="00925646" w:rsidP="00B776C2">
            <w:pPr>
              <w:spacing w:beforeLines="60" w:before="144" w:afterLines="100" w:after="240"/>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i requisiti di fondi propri calcolati ai sensi dell</w:t>
            </w:r>
            <w:r w:rsidR="000831F2">
              <w:rPr>
                <w:rFonts w:ascii="Times New Roman" w:hAnsi="Times New Roman"/>
                <w:sz w:val="24"/>
              </w:rPr>
              <w:t>'</w:t>
            </w:r>
            <w:r>
              <w:rPr>
                <w:rFonts w:ascii="Times New Roman" w:hAnsi="Times New Roman"/>
                <w:sz w:val="24"/>
              </w:rPr>
              <w:t>articolo 378 del regolamento (UE) n.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57E87ABC"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0831F2">
              <w:rPr>
                <w:rStyle w:val="InstructionsTabelleberschrift"/>
                <w:rFonts w:ascii="Times New Roman" w:hAnsi="Times New Roman"/>
                <w:sz w:val="24"/>
              </w:rPr>
              <w:t>'</w:t>
            </w:r>
            <w:r>
              <w:rPr>
                <w:rStyle w:val="InstructionsTabelleberschrift"/>
                <w:rFonts w:ascii="Times New Roman" w:hAnsi="Times New Roman"/>
                <w:sz w:val="24"/>
              </w:rPr>
              <w:t>ESPOSIZIONE AL RISCHIO DI REGOLAMENTO</w:t>
            </w:r>
          </w:p>
          <w:p w14:paraId="3A06223E" w14:textId="2F489AE2" w:rsidR="00925646" w:rsidRPr="002A677E" w:rsidRDefault="00925646" w:rsidP="00B776C2">
            <w:pPr>
              <w:spacing w:beforeLines="60" w:before="144" w:afterLines="100" w:after="240"/>
              <w:rPr>
                <w:rFonts w:ascii="Times New Roman" w:hAnsi="Times New Roman"/>
                <w:sz w:val="24"/>
              </w:rPr>
            </w:pPr>
            <w:r>
              <w:rPr>
                <w:rFonts w:ascii="Times New Roman" w:hAnsi="Times New Roman"/>
                <w:sz w:val="24"/>
              </w:rPr>
              <w:t>Conformemente all</w:t>
            </w:r>
            <w:r w:rsidR="000831F2">
              <w:rPr>
                <w:rFonts w:ascii="Times New Roman" w:hAnsi="Times New Roman"/>
                <w:sz w:val="24"/>
              </w:rPr>
              <w:t>'</w:t>
            </w:r>
            <w:r>
              <w:rPr>
                <w:rFonts w:ascii="Times New Roman" w:hAnsi="Times New Roman"/>
                <w:sz w:val="24"/>
              </w:rPr>
              <w:t>articolo 92, paragrafo 4, lettera b), del regolamento (UE) n.</w:t>
            </w:r>
            <w:r w:rsidR="000831F2">
              <w:rPr>
                <w:rFonts w:ascii="Times New Roman" w:hAnsi="Times New Roman"/>
                <w:sz w:val="24"/>
              </w:rPr>
              <w:t> </w:t>
            </w:r>
            <w:r>
              <w:rPr>
                <w:rFonts w:ascii="Times New Roman" w:hAnsi="Times New Roman"/>
                <w:sz w:val="24"/>
              </w:rPr>
              <w:t>575/2013, per determinare l</w:t>
            </w:r>
            <w:r w:rsidR="000831F2">
              <w:rPr>
                <w:rFonts w:ascii="Times New Roman" w:hAnsi="Times New Roman"/>
                <w:sz w:val="24"/>
              </w:rPr>
              <w:t>'</w:t>
            </w:r>
            <w:r>
              <w:rPr>
                <w:rFonts w:ascii="Times New Roman" w:hAnsi="Times New Roman"/>
                <w:sz w:val="24"/>
              </w:rPr>
              <w:t>importo dell</w:t>
            </w:r>
            <w:r w:rsidR="000831F2">
              <w:rPr>
                <w:rFonts w:ascii="Times New Roman" w:hAnsi="Times New Roman"/>
                <w:sz w:val="24"/>
              </w:rPr>
              <w:t>'</w:t>
            </w:r>
            <w:r>
              <w:rPr>
                <w:rFonts w:ascii="Times New Roman" w:hAnsi="Times New Roman"/>
                <w:sz w:val="24"/>
              </w:rPr>
              <w:t>esposizione al rischio di regolamento l</w:t>
            </w:r>
            <w:r w:rsidR="000831F2">
              <w:rPr>
                <w:rFonts w:ascii="Times New Roman" w:hAnsi="Times New Roman"/>
                <w:sz w:val="24"/>
              </w:rPr>
              <w:t>'</w:t>
            </w:r>
            <w:r>
              <w:rPr>
                <w:rFonts w:ascii="Times New Roman" w:hAnsi="Times New Roman"/>
                <w:sz w:val="24"/>
              </w:rPr>
              <w:t>ente moltiplica per 12,5 i requisiti di fondi propri segnalati nella colonna 0030.</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0831F2">
            <w:pPr>
              <w:keepNext/>
              <w:spacing w:beforeLines="60" w:before="144" w:afterLines="60" w:after="144"/>
              <w:rPr>
                <w:rFonts w:ascii="Times New Roman" w:hAnsi="Times New Roman"/>
                <w:b/>
                <w:sz w:val="24"/>
              </w:rPr>
            </w:pPr>
            <w:r>
              <w:rPr>
                <w:rFonts w:ascii="Times New Roman" w:hAnsi="Times New Roman"/>
                <w:b/>
                <w:sz w:val="24"/>
              </w:rPr>
              <w:lastRenderedPageBreak/>
              <w:t>Righe</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esterne al portafoglio di negoziazione</w:t>
            </w:r>
          </w:p>
          <w:p w14:paraId="21410DD0" w14:textId="090F1F59"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informazioni aggregate riguardanti il rischio di regolamento/consegna delle posizioni esterne al portafoglio di negoziazione (di</w:t>
            </w:r>
            <w:r w:rsidR="000831F2">
              <w:rPr>
                <w:rFonts w:ascii="Times New Roman" w:hAnsi="Times New Roman"/>
                <w:sz w:val="24"/>
              </w:rPr>
              <w:t> </w:t>
            </w:r>
            <w:r>
              <w:rPr>
                <w:rFonts w:ascii="Times New Roman" w:hAnsi="Times New Roman"/>
                <w:sz w:val="24"/>
              </w:rPr>
              <w:t>cui all</w:t>
            </w:r>
            <w:r w:rsidR="000831F2">
              <w:rPr>
                <w:rFonts w:ascii="Times New Roman" w:hAnsi="Times New Roman"/>
                <w:sz w:val="24"/>
              </w:rPr>
              <w:t>'</w:t>
            </w:r>
            <w:r>
              <w:rPr>
                <w:rFonts w:ascii="Times New Roman" w:hAnsi="Times New Roman"/>
                <w:sz w:val="24"/>
              </w:rPr>
              <w:t>articolo 92, paragrafo 4, lettera c bis), e all</w:t>
            </w:r>
            <w:r w:rsidR="000831F2">
              <w:rPr>
                <w:rFonts w:ascii="Times New Roman" w:hAnsi="Times New Roman"/>
                <w:sz w:val="24"/>
              </w:rPr>
              <w:t>'</w:t>
            </w:r>
            <w:r>
              <w:rPr>
                <w:rFonts w:ascii="Times New Roman" w:hAnsi="Times New Roman"/>
                <w:sz w:val="24"/>
              </w:rPr>
              <w:t>articolo 378 del regolamento (UE) n. 575/2013).</w:t>
            </w:r>
          </w:p>
          <w:p w14:paraId="57BBA9B8" w14:textId="601A3514" w:rsidR="00925646" w:rsidRPr="002A677E" w:rsidRDefault="00925646" w:rsidP="00E07FE9">
            <w:pPr>
              <w:spacing w:beforeLines="60" w:before="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0010;c</w:t>
            </w:r>
            <w:proofErr w:type="gramEnd"/>
            <w:r>
              <w:rPr>
                <w:rFonts w:ascii="Times New Roman" w:hAnsi="Times New Roman"/>
                <w:sz w:val="24"/>
              </w:rPr>
              <w:t>0010} la somma aggregata delle operazioni non liquidate dopo lo scadere delle relative date di consegna al rispettivo prezzo di liquidazione convenuto.</w:t>
            </w:r>
          </w:p>
          <w:p w14:paraId="556AEAC8" w14:textId="03C9D48C" w:rsidR="00925646" w:rsidRPr="002A677E" w:rsidRDefault="00925646" w:rsidP="00E07FE9">
            <w:pPr>
              <w:spacing w:beforeLines="60" w:before="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0010;c</w:t>
            </w:r>
            <w:proofErr w:type="gramEnd"/>
            <w:r>
              <w:rPr>
                <w:rFonts w:ascii="Times New Roman" w:hAnsi="Times New Roman"/>
                <w:sz w:val="24"/>
              </w:rPr>
              <w:t>0020} le informazioni aggregate relative all</w:t>
            </w:r>
            <w:r w:rsidR="000831F2">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14:paraId="01BDECED" w14:textId="52BD593B"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0010;c</w:t>
            </w:r>
            <w:proofErr w:type="gramEnd"/>
            <w:r>
              <w:rPr>
                <w:rFonts w:ascii="Times New Roman" w:hAnsi="Times New Roman"/>
                <w:sz w:val="24"/>
              </w:rPr>
              <w:t>0030} i requisiti aggregati di fondi propri ricavati dalla somma dei requisiti di fondi propri delle operazioni non liquidate moltiplicando la "differenza di prezzo" indicata nella colonna 0020 per il fattore appropriato basato sul numero di giorni lavorativi di ritardo rispetto alla data di regolamento (categorie di cui alla tabella 1 dell</w:t>
            </w:r>
            <w:r w:rsidR="000831F2">
              <w:rPr>
                <w:rFonts w:ascii="Times New Roman" w:hAnsi="Times New Roman"/>
                <w:sz w:val="24"/>
              </w:rPr>
              <w:t>'</w:t>
            </w:r>
            <w:r>
              <w:rPr>
                <w:rFonts w:ascii="Times New Roman" w:hAnsi="Times New Roman"/>
                <w:sz w:val="24"/>
              </w:rPr>
              <w:t>articolo 378 del regolamento (UE) n.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Operazioni non liquidate fino a 4 giorni (fattore 0 %)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14:paraId="4BCE7D0D" w14:textId="71898FE8"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nelle righe da 0020 a 0060 informazioni riguardanti il rischio di regolamento/consegna delle posizioni esterne al portafoglio di negoziazione conformemente alle categorie di cui alla tabella 1 dell</w:t>
            </w:r>
            <w:r w:rsidR="000831F2">
              <w:rPr>
                <w:rFonts w:ascii="Times New Roman" w:hAnsi="Times New Roman"/>
                <w:sz w:val="24"/>
              </w:rPr>
              <w:t>'</w:t>
            </w:r>
            <w:r>
              <w:rPr>
                <w:rFonts w:ascii="Times New Roman" w:hAnsi="Times New Roman"/>
                <w:sz w:val="24"/>
              </w:rPr>
              <w:t xml:space="preserve">articolo 378 del regolamento (UE) n. 575/2013.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interne al portafoglio di negoziazione</w:t>
            </w:r>
          </w:p>
          <w:p w14:paraId="3C4B428B" w14:textId="77B748B8"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informazioni aggregate riguardanti il rischio di regolamento/consegna delle posizioni del portafoglio di negoziazione (di cui all</w:t>
            </w:r>
            <w:r w:rsidR="000831F2">
              <w:rPr>
                <w:rFonts w:ascii="Times New Roman" w:hAnsi="Times New Roman"/>
                <w:sz w:val="24"/>
              </w:rPr>
              <w:t>'</w:t>
            </w:r>
            <w:r>
              <w:rPr>
                <w:rFonts w:ascii="Times New Roman" w:hAnsi="Times New Roman"/>
                <w:sz w:val="24"/>
              </w:rPr>
              <w:t>articolo 92, paragrafo 4, lettera c bis), e all</w:t>
            </w:r>
            <w:r w:rsidR="000831F2">
              <w:rPr>
                <w:rFonts w:ascii="Times New Roman" w:hAnsi="Times New Roman"/>
                <w:sz w:val="24"/>
              </w:rPr>
              <w:t>'</w:t>
            </w:r>
            <w:r>
              <w:rPr>
                <w:rFonts w:ascii="Times New Roman" w:hAnsi="Times New Roman"/>
                <w:sz w:val="24"/>
              </w:rPr>
              <w:t>articolo 378 del regolamento (UE) n. 575/2013).</w:t>
            </w:r>
          </w:p>
          <w:p w14:paraId="2E44B3F3" w14:textId="0696628F"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0070;c</w:t>
            </w:r>
            <w:proofErr w:type="gramEnd"/>
            <w:r>
              <w:rPr>
                <w:rFonts w:ascii="Times New Roman" w:hAnsi="Times New Roman"/>
                <w:sz w:val="24"/>
              </w:rPr>
              <w:t>0010} la somma aggregata delle operazioni non liquidate dopo lo scadere delle relative date di consegna al rispettivo prezzo di liquidazione convenuto.</w:t>
            </w:r>
          </w:p>
          <w:p w14:paraId="1CB848DF" w14:textId="37D21A89"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0070;c</w:t>
            </w:r>
            <w:proofErr w:type="gramEnd"/>
            <w:r>
              <w:rPr>
                <w:rFonts w:ascii="Times New Roman" w:hAnsi="Times New Roman"/>
                <w:sz w:val="24"/>
              </w:rPr>
              <w:t>0020} le informazioni aggregate relative all</w:t>
            </w:r>
            <w:r w:rsidR="000831F2">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14:paraId="64D05373" w14:textId="7AD17C0A"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nella cella {r</w:t>
            </w:r>
            <w:proofErr w:type="gramStart"/>
            <w:r>
              <w:rPr>
                <w:rFonts w:ascii="Times New Roman" w:hAnsi="Times New Roman"/>
                <w:sz w:val="24"/>
              </w:rPr>
              <w:t>0070;c</w:t>
            </w:r>
            <w:proofErr w:type="gramEnd"/>
            <w:r>
              <w:rPr>
                <w:rFonts w:ascii="Times New Roman" w:hAnsi="Times New Roman"/>
                <w:sz w:val="24"/>
              </w:rPr>
              <w:t>0030} i requisiti aggregati di fondi propri ricavati dalla somma dei requisiti di fondi propri delle operazioni non liquidate moltiplicando la "differenza di prezzo" indicata nella colonna 0020 per il fattore appropriato basato sul numero di giorni lavorativi di ritardo rispetto alla data di regolamento (categorie di cui alla tabella 1 dell</w:t>
            </w:r>
            <w:r w:rsidR="000831F2">
              <w:rPr>
                <w:rFonts w:ascii="Times New Roman" w:hAnsi="Times New Roman"/>
                <w:sz w:val="24"/>
              </w:rPr>
              <w:t>'</w:t>
            </w:r>
            <w:r>
              <w:rPr>
                <w:rFonts w:ascii="Times New Roman" w:hAnsi="Times New Roman"/>
                <w:sz w:val="24"/>
              </w:rPr>
              <w:t>articolo 378 del regolamento (UE) n.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Operazioni non liquidate fino a 4 giorni (fattore 0 %)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14:paraId="1A0345F5" w14:textId="43C47686"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w:t>
            </w:r>
            <w:r w:rsidR="000831F2">
              <w:rPr>
                <w:rFonts w:ascii="Times New Roman" w:hAnsi="Times New Roman"/>
                <w:sz w:val="24"/>
              </w:rPr>
              <w:t>'</w:t>
            </w:r>
            <w:r>
              <w:rPr>
                <w:rFonts w:ascii="Times New Roman" w:hAnsi="Times New Roman"/>
                <w:sz w:val="24"/>
              </w:rPr>
              <w:t>ente segnala nelle righe da 0080 a 0120 informazioni riguardanti il rischio di regolamento/consegna delle posizioni interne al portafoglio di negoziazione conformemente alle categorie di cui alla tabella 1 dell</w:t>
            </w:r>
            <w:r w:rsidR="000831F2">
              <w:rPr>
                <w:rFonts w:ascii="Times New Roman" w:hAnsi="Times New Roman"/>
                <w:sz w:val="24"/>
              </w:rPr>
              <w:t>'</w:t>
            </w:r>
            <w:r>
              <w:rPr>
                <w:rFonts w:ascii="Times New Roman" w:hAnsi="Times New Roman"/>
                <w:sz w:val="24"/>
              </w:rPr>
              <w:t xml:space="preserve">articolo 378 del regolamento (UE) n. 575/2013.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0831F2"/>
    <w:rsid w:val="005A0E0B"/>
    <w:rsid w:val="00631623"/>
    <w:rsid w:val="006364D5"/>
    <w:rsid w:val="00736637"/>
    <w:rsid w:val="007E5623"/>
    <w:rsid w:val="00834AC0"/>
    <w:rsid w:val="00852A6E"/>
    <w:rsid w:val="00925646"/>
    <w:rsid w:val="00960943"/>
    <w:rsid w:val="009C5DD6"/>
    <w:rsid w:val="00A6002C"/>
    <w:rsid w:val="00AB618F"/>
    <w:rsid w:val="00B71F25"/>
    <w:rsid w:val="00B776C2"/>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purl.org/dc/elements/1.1/"/>
    <ds:schemaRef ds:uri="da0bec91-bd15-486a-844a-39cd7890c3eb"/>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82dbab2e-3b56-44de-becc-0ec356b33dff"/>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EEFF05AB-48F5-4FB3-A01C-DDA76D5BDB4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5</Pages>
  <Words>1223</Words>
  <Characters>6985</Characters>
  <Application>Microsoft Office Word</Application>
  <DocSecurity>0</DocSecurity>
  <Lines>148</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PAUN Irina (DGT)</cp:lastModifiedBy>
  <cp:revision>11</cp:revision>
  <dcterms:created xsi:type="dcterms:W3CDTF">2024-05-28T09:25:00Z</dcterms:created>
  <dcterms:modified xsi:type="dcterms:W3CDTF">2025-01-27T08:18:00Z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